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DD712">
      <w:pPr>
        <w:snapToGrid w:val="0"/>
        <w:jc w:val="center"/>
        <w:rPr>
          <w:rFonts w:hint="eastAsia" w:ascii="黑体" w:eastAsia="黑体"/>
          <w:b/>
          <w:bCs/>
          <w:color w:val="000000"/>
          <w:sz w:val="72"/>
          <w:szCs w:val="72"/>
        </w:rPr>
      </w:pPr>
    </w:p>
    <w:p w14:paraId="3D82E18F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黑体" w:eastAsia="黑体"/>
          <w:b/>
          <w:bCs/>
          <w:color w:val="000000"/>
          <w:sz w:val="72"/>
          <w:szCs w:val="72"/>
        </w:rPr>
        <w:t>内科护理</w:t>
      </w:r>
    </w:p>
    <w:p w14:paraId="5745AB42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宋体" w:hAnsi="宋体"/>
          <w:b/>
          <w:bCs/>
          <w:color w:val="000000"/>
          <w:sz w:val="72"/>
          <w:szCs w:val="72"/>
        </w:rPr>
        <w:t>课时教案</w:t>
      </w:r>
    </w:p>
    <w:p w14:paraId="31FA7A4F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43553DB2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</w:p>
    <w:p w14:paraId="15373F56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 xml:space="preserve">  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第 一 学 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期</w:t>
      </w:r>
    </w:p>
    <w:p w14:paraId="19E5FE28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4A3FB680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 xml:space="preserve">  </w:t>
      </w:r>
    </w:p>
    <w:p w14:paraId="693271CA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30856618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408F0CDD">
      <w:pPr>
        <w:snapToGrid w:val="0"/>
        <w:spacing w:line="36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75A781D2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  <w:u w:val="single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课程名称：内科护理             </w:t>
      </w:r>
    </w:p>
    <w:p w14:paraId="43FD6161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任课教师：  ____________________                      </w:t>
      </w:r>
    </w:p>
    <w:p w14:paraId="2F8CB317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职    称： _____________________                        </w:t>
      </w:r>
      <w:r>
        <w:rPr>
          <w:rFonts w:hint="eastAsia" w:ascii="黑体" w:eastAsia="黑体"/>
          <w:b/>
          <w:bCs/>
          <w:color w:val="000000"/>
          <w:sz w:val="30"/>
          <w:szCs w:val="30"/>
        </w:rPr>
        <w:t xml:space="preserve"> </w:t>
      </w:r>
    </w:p>
    <w:p w14:paraId="3D3CA0DD">
      <w:pPr>
        <w:snapToGrid w:val="0"/>
        <w:spacing w:line="48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71561458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11DEEC09">
      <w:pPr>
        <w:snapToGrid w:val="0"/>
        <w:jc w:val="center"/>
        <w:rPr>
          <w:rFonts w:hint="eastAsia"/>
          <w:b/>
          <w:sz w:val="28"/>
          <w:szCs w:val="28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_____年_____月_____日</w:t>
      </w:r>
    </w:p>
    <w:p w14:paraId="715E5A9C">
      <w:pPr>
        <w:rPr>
          <w:b/>
          <w:sz w:val="28"/>
          <w:szCs w:val="28"/>
        </w:rPr>
      </w:pPr>
    </w:p>
    <w:p w14:paraId="548F9C02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7F797B60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2B32ECB8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5D0A5770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6691DC99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p w14:paraId="11F61212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5"/>
      </w:tblGrid>
      <w:tr w14:paraId="08855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F3489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班级：************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</w:t>
            </w:r>
            <w:r>
              <w:rPr>
                <w:rFonts w:hint="eastAsia" w:cs="宋体"/>
                <w:b/>
                <w:kern w:val="0"/>
                <w:sz w:val="28"/>
                <w:szCs w:val="20"/>
              </w:rPr>
              <w:t>学时：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val="en-US" w:eastAsia="zh-CN"/>
              </w:rPr>
              <w:t>2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>** 学年    第一学期</w:t>
            </w:r>
          </w:p>
        </w:tc>
      </w:tr>
      <w:tr w14:paraId="05623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0C21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课程名称：内科护理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 xml:space="preserve">       </w:t>
            </w:r>
          </w:p>
        </w:tc>
      </w:tr>
      <w:tr w14:paraId="724C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EE095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 xml:space="preserve">课题： 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val="en-US" w:eastAsia="zh-CN"/>
              </w:rPr>
              <w:t>泌尿</w:t>
            </w:r>
            <w:r>
              <w:rPr>
                <w:rFonts w:hint="eastAsia" w:cs="宋体"/>
                <w:b/>
                <w:kern w:val="0"/>
                <w:sz w:val="28"/>
                <w:szCs w:val="20"/>
              </w:rPr>
              <w:t>系统常用诊疗技术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val="en-US" w:eastAsia="zh-CN"/>
              </w:rPr>
              <w:t>及</w:t>
            </w:r>
            <w:bookmarkStart w:id="0" w:name="_GoBack"/>
            <w:bookmarkEnd w:id="0"/>
            <w:r>
              <w:rPr>
                <w:rFonts w:hint="eastAsia" w:cs="宋体"/>
                <w:b/>
                <w:kern w:val="0"/>
                <w:sz w:val="28"/>
                <w:szCs w:val="20"/>
              </w:rPr>
              <w:t xml:space="preserve">护理 </w:t>
            </w:r>
          </w:p>
        </w:tc>
      </w:tr>
      <w:tr w14:paraId="46BB3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0FEA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教学目的和要求：</w:t>
            </w:r>
          </w:p>
        </w:tc>
      </w:tr>
      <w:tr w14:paraId="7EFB5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5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F2330">
            <w:pPr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</w:rPr>
              <w:t>知识目标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</w:p>
          <w:p w14:paraId="3E1EA15E"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准确阐述血液透析、腹膜透析、肾穿刺术的概念、适应证与禁忌证。</w:t>
            </w:r>
          </w:p>
          <w:p w14:paraId="1A6ABDB1"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清晰描述三种诊疗技术的操作过程，包括评估、操作前准备、操作中护理及操作后护理的关键步骤。</w:t>
            </w:r>
          </w:p>
          <w:p w14:paraId="1A271441"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列举并说明三种技术常见并发症的类型、预防措施及处理方法。</w:t>
            </w:r>
          </w:p>
          <w:p w14:paraId="7CF6705C">
            <w:pPr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</w:rPr>
              <w:t>能力目标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</w:p>
          <w:p w14:paraId="52273E0A"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能根据患者情况，初步判断是否适合采用血液透析、腹膜透析或肾穿刺术。</w:t>
            </w:r>
          </w:p>
          <w:p w14:paraId="11E2CE58"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能模拟完成三种诊疗技术操作过程中的基础护理配合工作，如操作前用物准备、操作中无菌操作配合等。</w:t>
            </w:r>
          </w:p>
          <w:p w14:paraId="395A8E28"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面对常见并发症场景，能快速识别并说出正确的初步处理流程。</w:t>
            </w:r>
          </w:p>
          <w:p w14:paraId="270933E0">
            <w:pPr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</w:rPr>
              <w:t>情感目标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</w:p>
          <w:p w14:paraId="25D2AADA"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培养对泌尿系统疾病患者的关爱与同理心，树立以患者为中心的护理理念。</w:t>
            </w:r>
          </w:p>
          <w:p w14:paraId="04C340BA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</w:rPr>
              <w:t>增强团队协作意识，认识到护理工作中严格执行操作规范的重要性，培养严谨的职业态度</w:t>
            </w:r>
          </w:p>
        </w:tc>
      </w:tr>
      <w:tr w14:paraId="196C5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77072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教学重点、难点：</w:t>
            </w:r>
          </w:p>
        </w:tc>
      </w:tr>
      <w:tr w14:paraId="605DF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985CD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教学重点</w:t>
            </w:r>
          </w:p>
          <w:p w14:paraId="79B8D515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血液透析、腹膜透析、肾穿刺术的适应证与禁忌证。</w:t>
            </w:r>
          </w:p>
          <w:p w14:paraId="044DA974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三种诊疗技术操作过程中的护理要点，尤其是无菌操作要求。</w:t>
            </w:r>
          </w:p>
          <w:p w14:paraId="14BF613A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常见并发症的预防及处理方法。</w:t>
            </w:r>
          </w:p>
          <w:p w14:paraId="274D1B69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教学难点</w:t>
            </w:r>
          </w:p>
          <w:p w14:paraId="2B8A0F14"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理解血液透析和腹膜透析的工作原理（如血液透析的溶质交换、腹膜透析的超滤和渗透作用），并能解释其在临床治疗中的意义。</w:t>
            </w:r>
          </w:p>
          <w:p w14:paraId="3B949906">
            <w:pPr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 w:cs="宋体"/>
                <w:b/>
                <w:kern w:val="0"/>
                <w:sz w:val="2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肾穿刺术操作中穿刺点选择、消毒及穿刺配合的精准性要求，以及术后并发症的观察与应急处理</w:t>
            </w:r>
          </w:p>
        </w:tc>
      </w:tr>
      <w:tr w14:paraId="68A98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B071E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课时安排：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</w:t>
            </w:r>
          </w:p>
        </w:tc>
      </w:tr>
      <w:tr w14:paraId="5BA51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1AA56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1、介绍该学科的相关知识导入新课、启发式提问  5分钟</w:t>
            </w:r>
          </w:p>
        </w:tc>
      </w:tr>
      <w:tr w14:paraId="1130A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B94C4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2、</w:t>
            </w:r>
            <w:r>
              <w:rPr>
                <w:rFonts w:hint="eastAsia" w:ascii="宋体" w:hAnsi="宋体" w:cs="宋体"/>
                <w:kern w:val="0"/>
                <w:sz w:val="24"/>
              </w:rPr>
              <w:t>常用诊疗技术护理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要点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bCs/>
                <w:sz w:val="24"/>
              </w:rPr>
              <w:t>分钟</w:t>
            </w:r>
          </w:p>
        </w:tc>
      </w:tr>
      <w:tr w14:paraId="2C6FF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B66AC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3、</w:t>
            </w:r>
            <w:r>
              <w:rPr>
                <w:rFonts w:hint="eastAsia" w:ascii="宋体" w:hAnsi="宋体" w:cs="宋体"/>
                <w:kern w:val="0"/>
                <w:sz w:val="24"/>
              </w:rPr>
              <w:t>常用诊疗技术护理</w:t>
            </w:r>
            <w:r>
              <w:rPr>
                <w:rFonts w:hint="eastAsia" w:ascii="宋体" w:hAnsi="宋体"/>
                <w:bCs/>
                <w:sz w:val="24"/>
              </w:rPr>
              <w:t xml:space="preserve">  </w:t>
            </w:r>
            <w:r>
              <w:rPr>
                <w:rFonts w:ascii="宋体" w:hAnsi="宋体"/>
                <w:bCs/>
                <w:sz w:val="24"/>
              </w:rPr>
              <w:t>50</w:t>
            </w:r>
            <w:r>
              <w:rPr>
                <w:rFonts w:hint="eastAsia" w:ascii="宋体" w:hAnsi="宋体"/>
                <w:bCs/>
                <w:sz w:val="24"/>
              </w:rPr>
              <w:t>分钟</w:t>
            </w:r>
          </w:p>
        </w:tc>
      </w:tr>
      <w:tr w14:paraId="143E1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20F3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4、回顾总结达标测评  10分钟</w:t>
            </w:r>
          </w:p>
        </w:tc>
      </w:tr>
      <w:tr w14:paraId="0B7A8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CC142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教法设计：</w:t>
            </w:r>
          </w:p>
        </w:tc>
      </w:tr>
      <w:tr w14:paraId="31DC1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DFAC1">
            <w:pPr>
              <w:widowControl/>
              <w:spacing w:before="100" w:beforeAutospacing="1" w:after="100" w:afterAutospacing="1" w:line="300" w:lineRule="atLeast"/>
              <w:ind w:firstLine="1320" w:firstLineChars="55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精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讲点拨  分组讨论  启发提问  </w:t>
            </w:r>
            <w:r>
              <w:rPr>
                <w:rFonts w:hint="eastAsia" w:cs="宋体"/>
                <w:kern w:val="0"/>
                <w:sz w:val="24"/>
              </w:rPr>
              <w:t>基础与临床联系法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回顾总结</w:t>
            </w:r>
          </w:p>
        </w:tc>
      </w:tr>
      <w:tr w14:paraId="18266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F249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教学用具：</w:t>
            </w:r>
          </w:p>
        </w:tc>
      </w:tr>
      <w:tr w14:paraId="3238D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4F7AC">
            <w:pPr>
              <w:widowControl/>
              <w:spacing w:before="100" w:beforeAutospacing="1" w:after="100" w:afterAutospacing="1" w:line="300" w:lineRule="atLeast"/>
              <w:ind w:firstLine="1320" w:firstLineChars="55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多媒体、挂图与板图相结合    </w:t>
            </w:r>
          </w:p>
        </w:tc>
      </w:tr>
    </w:tbl>
    <w:p w14:paraId="4584133E">
      <w:pPr>
        <w:rPr>
          <w:rFonts w:hint="eastAsia"/>
        </w:rPr>
      </w:pPr>
    </w:p>
    <w:tbl>
      <w:tblPr>
        <w:tblStyle w:val="7"/>
        <w:tblW w:w="9640" w:type="dxa"/>
        <w:tblCellSpacing w:w="11" w:type="dxa"/>
        <w:tblInd w:w="-2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6"/>
        <w:gridCol w:w="1604"/>
      </w:tblGrid>
      <w:tr w14:paraId="1BD90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8008" w:type="dxa"/>
            <w:tcBorders>
              <w:top w:val="nil"/>
              <w:bottom w:val="nil"/>
              <w:right w:val="single" w:color="auto" w:sz="4" w:space="0"/>
            </w:tcBorders>
            <w:noWrap w:val="0"/>
            <w:vAlign w:val="center"/>
          </w:tcPr>
          <w:p w14:paraId="2DE107E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              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讲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授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内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容</w:t>
            </w:r>
          </w:p>
        </w:tc>
        <w:tc>
          <w:tcPr>
            <w:tcW w:w="1572" w:type="dxa"/>
            <w:noWrap w:val="0"/>
            <w:vAlign w:val="center"/>
          </w:tcPr>
          <w:p w14:paraId="36919A42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36"/>
                <w:szCs w:val="20"/>
              </w:rPr>
              <w:t>旁批</w:t>
            </w:r>
          </w:p>
        </w:tc>
      </w:tr>
      <w:tr w14:paraId="5FE02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0" w:hRule="atLeast"/>
          <w:tblCellSpacing w:w="11" w:type="dxa"/>
        </w:trPr>
        <w:tc>
          <w:tcPr>
            <w:tcW w:w="8008" w:type="dxa"/>
            <w:tcBorders>
              <w:top w:val="nil"/>
              <w:bottom w:val="nil"/>
              <w:right w:val="single" w:color="auto" w:sz="4" w:space="0"/>
            </w:tcBorders>
            <w:noWrap w:val="0"/>
            <w:vAlign w:val="center"/>
          </w:tcPr>
          <w:p w14:paraId="4F4BD28D">
            <w:pPr>
              <w:spacing w:line="360" w:lineRule="exact"/>
              <w:ind w:firstLine="480"/>
              <w:jc w:val="center"/>
              <w:rPr>
                <w:rFonts w:eastAsia="等线 Light"/>
                <w:b/>
                <w:bCs/>
                <w:sz w:val="36"/>
                <w:szCs w:val="36"/>
              </w:rPr>
            </w:pPr>
            <w:r>
              <w:rPr>
                <w:rFonts w:hint="eastAsia" w:eastAsia="等线 Light"/>
                <w:b/>
                <w:bCs/>
                <w:sz w:val="36"/>
                <w:szCs w:val="36"/>
                <w:lang w:val="en-US" w:eastAsia="zh-CN"/>
              </w:rPr>
              <w:t>泌尿</w:t>
            </w:r>
            <w:r>
              <w:rPr>
                <w:rFonts w:hint="eastAsia" w:eastAsia="等线 Light"/>
                <w:b/>
                <w:bCs/>
                <w:sz w:val="36"/>
                <w:szCs w:val="36"/>
              </w:rPr>
              <w:t>系统常用诊疗技术护理</w:t>
            </w:r>
          </w:p>
          <w:p w14:paraId="44632D85">
            <w:pPr>
              <w:rPr>
                <w:rFonts w:hint="eastAsia"/>
              </w:rPr>
            </w:pPr>
            <w:r>
              <w:rPr>
                <w:rFonts w:hint="eastAsia" w:ascii="黑体" w:eastAsia="黑体"/>
              </w:rPr>
              <w:t xml:space="preserve">[学习时数] </w:t>
            </w:r>
            <w:r>
              <w:rPr>
                <w:rFonts w:hint="eastAsia" w:eastAsia="黑体"/>
              </w:rPr>
              <w:t>2</w:t>
            </w:r>
            <w:r>
              <w:rPr>
                <w:rFonts w:hint="eastAsia"/>
              </w:rPr>
              <w:t>学时</w:t>
            </w:r>
          </w:p>
          <w:p w14:paraId="5E34BDEF">
            <w:pPr>
              <w:rPr>
                <w:rFonts w:hint="eastAsia"/>
              </w:rPr>
            </w:pP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一、</w:t>
            </w:r>
            <w:r>
              <w:rPr>
                <w:rFonts w:hint="eastAsia"/>
              </w:rPr>
              <w:t>血液透析</w:t>
            </w:r>
          </w:p>
          <w:p w14:paraId="0CF0B3B3">
            <w:pPr>
              <w:rPr>
                <w:rFonts w:hint="eastAsia"/>
              </w:rPr>
            </w:pPr>
            <w:r>
              <w:rPr>
                <w:rFonts w:hint="eastAsia"/>
              </w:rPr>
              <w:t>概念及分类：结合 “图 5-1 血液透析示意图”，讲解血液透析（HD，人工肾透析）的定义，说明其作为常用血液净化方法的作用机制（利用透析器半透膜，实现血液与</w:t>
            </w: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适应证与相对禁忌证：</w:t>
            </w:r>
          </w:p>
          <w:p w14:paraId="1BDDD493">
            <w:pPr>
              <w:rPr>
                <w:rFonts w:hint="eastAsia"/>
              </w:rPr>
            </w:pPr>
            <w:r>
              <w:rPr>
                <w:rFonts w:hint="eastAsia"/>
              </w:rPr>
              <w:t>适应证：分点详细说明急性肾衰、慢性肾衰、急性药物或毒物中毒的具体适用情况，如急性肾衰患者出现少尿或无尿超过 24-48 小时、慢性肾衰患者达到尿毒症期等。</w:t>
            </w:r>
          </w:p>
          <w:p w14:paraId="0955C8C7">
            <w:pPr>
              <w:rPr>
                <w:rFonts w:hint="eastAsia"/>
              </w:rPr>
            </w:pPr>
            <w:r>
              <w:rPr>
                <w:rFonts w:hint="eastAsia"/>
              </w:rPr>
              <w:t>相对禁忌证：列举严重心功能不全、严重贫血、大手术后未过危险期等情况，说明这些情况下需谨慎评估是否进行血液透析。</w:t>
            </w:r>
          </w:p>
          <w:p w14:paraId="244EFFE7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操作过程：按 “评估 - 操作前准备 - 操作中护理 - 操作后护理” 四步讲解：</w:t>
            </w:r>
          </w:p>
          <w:p w14:paraId="74CA9193">
            <w:pPr>
              <w:rPr>
                <w:rFonts w:hint="eastAsia"/>
              </w:rPr>
            </w:pPr>
            <w:r>
              <w:rPr>
                <w:rFonts w:hint="eastAsia"/>
              </w:rPr>
              <w:t>评估：患者（生命体征、血管通路情况、凝血功能等）、环境（清洁、安静、温度适宜，符合无菌操作要求）。</w:t>
            </w:r>
          </w:p>
          <w:p w14:paraId="05C58151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操作前准备：心理（向患者解释操作目的、过程，缓解紧张情绪）、用物（透析机、透析器、透析液、穿刺针、无菌敷料等）、患者（建立血管通路，如动静脉内瘘，评估通路通畅情况）。</w:t>
            </w:r>
          </w:p>
          <w:p w14:paraId="08F28C46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操作中护理：强调严格无菌操作，动作熟练，密切观察患者生命体征、透析机运行状态（如血流量、透析液温度、跨膜压等），及时处理异常情况。</w:t>
            </w:r>
          </w:p>
          <w:p w14:paraId="4EC64273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操作后护理：监测生命体征，观察穿刺部位有无出血、肿胀，留取血标本做生化检查（如血肌酐、尿素氮、电解质），评估透析效果。</w:t>
            </w:r>
          </w:p>
          <w:p w14:paraId="0E0671EA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常见并发症的预防及处理：</w:t>
            </w:r>
          </w:p>
          <w:p w14:paraId="7D4A0C9B">
            <w:pPr>
              <w:rPr>
                <w:rFonts w:hint="eastAsia"/>
              </w:rPr>
            </w:pPr>
            <w:r>
              <w:rPr>
                <w:rFonts w:hint="eastAsia"/>
              </w:rPr>
              <w:t>症状性低血压：预防（控制透析液温度、调整血流量，避免过快超滤）；处理（立即减慢血流量，停止超滤，给予生理盐水静脉输注，必要时使用升压药）。</w:t>
            </w:r>
          </w:p>
          <w:p w14:paraId="390A4DF4">
            <w:pPr>
              <w:rPr>
                <w:rFonts w:hint="eastAsia"/>
              </w:rPr>
            </w:pPr>
            <w:r>
              <w:rPr>
                <w:rFonts w:hint="eastAsia"/>
              </w:rPr>
              <w:t>失衡综合征：预防（首次透析时间缩短，血流量不宜过快，适当提高透析液中葡萄糖浓度）；处理（轻者给予吸氧、卧床休息，重者给予甘露醇或高渗盐水静脉注射）。</w:t>
            </w:r>
          </w:p>
          <w:p w14:paraId="4263C3A0">
            <w:pPr>
              <w:rPr>
                <w:rFonts w:hint="eastAsia"/>
              </w:rPr>
            </w:pPr>
            <w:r>
              <w:rPr>
                <w:rFonts w:hint="eastAsia"/>
              </w:rPr>
              <w:t>致热原反应、出血、过敏反应、心绞痛等：分别说明预防措施（如透析用品严格灭菌、评估患者凝血功能、询问过敏史）及处理方法。</w:t>
            </w:r>
          </w:p>
          <w:p w14:paraId="770EA148">
            <w:pPr>
              <w:rPr>
                <w:rFonts w:hint="eastAsia"/>
              </w:rPr>
            </w:pPr>
            <w:r>
              <w:rPr>
                <w:rFonts w:hint="eastAsia"/>
              </w:rPr>
              <w:t>注意事项：重点强调患者营养问题，说明营养状况对患者长期存活及生活质量的影响，指导学生了解患者饮食护理要点（如补充优质蛋白质、控制钾磷摄入）。</w:t>
            </w:r>
          </w:p>
          <w:p w14:paraId="11C916CF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腹膜透析</w:t>
            </w:r>
          </w:p>
          <w:p w14:paraId="5D77AA84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概念：讲解腹膜透析（PD）的定义，说明其利用腹膜作为透析膜，通过向腹腔输入透析液，实现体内水、电解质、代谢废物与透析液中物质交换的原理。</w:t>
            </w:r>
          </w:p>
          <w:p w14:paraId="3B715586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适应证与禁忌证：</w:t>
            </w:r>
          </w:p>
          <w:p w14:paraId="0205C94A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/>
              </w:rPr>
            </w:pPr>
            <w:r>
              <w:rPr>
                <w:rFonts w:hint="eastAsia"/>
              </w:rPr>
              <w:t>适应证：说明与血液透析基本相同，但更适用于低血压、有出血倾向、心血管功能不稳定的患者，如老年患者、糖尿病肾病患者合并心血管疾病者。</w:t>
            </w:r>
          </w:p>
          <w:p w14:paraId="25B3676E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/>
              </w:rPr>
            </w:pPr>
            <w:r>
              <w:rPr>
                <w:rFonts w:hint="eastAsia"/>
              </w:rPr>
              <w:t>禁忌证：指出无绝对禁忌证，但腹膜广泛粘连或纤维化、弥漫性腹腔感染时不宜进行，解释原因（如腹膜功能受损无法实现有效透析、感染可能扩散加重病情）。</w:t>
            </w:r>
          </w:p>
          <w:p w14:paraId="75E56C3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操作过程：</w:t>
            </w:r>
          </w:p>
          <w:p w14:paraId="07B77D09">
            <w:pPr>
              <w:rPr>
                <w:rFonts w:hint="eastAsia"/>
              </w:rPr>
            </w:pPr>
            <w:r>
              <w:rPr>
                <w:rFonts w:hint="eastAsia"/>
              </w:rPr>
              <w:t>评估：患者（生命体征、腹腔情况、营养状况、腹膜透析管留置情况）、环境（清洁、无菌，避免交叉感染）。</w:t>
            </w:r>
          </w:p>
          <w:p w14:paraId="22B53E87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操作前准备：心理（安抚患者情绪，讲解操作流程及配合要点）、用物（腹膜透析液、腹膜透析管、无菌操作盘、碘伏、纱布等）、患者（协助患者取舒适体位，如仰卧位，检查腹膜透析管固定情况）。</w:t>
            </w:r>
          </w:p>
          <w:p w14:paraId="2E8E2AF0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操作中护理：严格无菌操作，规范进行透析液输入、停留、引流操作，观察引流液的颜色、量、性状，记录透析液进出量。</w:t>
            </w:r>
          </w:p>
          <w:p w14:paraId="2C62F51F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操作后护理：监测生命体征，观察留置管有无渗血、渗液，固定是否牢固，指导患者保护留置管，避免牵拉。</w:t>
            </w:r>
          </w:p>
          <w:p w14:paraId="233384F5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常见并发症的预防及处理：</w:t>
            </w:r>
          </w:p>
          <w:p w14:paraId="33AF007B">
            <w:pPr>
              <w:rPr>
                <w:rFonts w:hint="eastAsia"/>
              </w:rPr>
            </w:pPr>
            <w:r>
              <w:rPr>
                <w:rFonts w:hint="eastAsia"/>
              </w:rPr>
              <w:t>引流不畅或腹膜透析管堵塞：预防（操作时避免空气进入腹腔，定期冲洗腹膜透析管）；处理（改变患者体位、挤压腹膜透析管，必要时用生理盐水低压冲洗）。</w:t>
            </w:r>
          </w:p>
          <w:p w14:paraId="743494F7">
            <w:pPr>
              <w:rPr>
                <w:rFonts w:hint="eastAsia"/>
              </w:rPr>
            </w:pPr>
            <w:r>
              <w:rPr>
                <w:rFonts w:hint="eastAsia"/>
              </w:rPr>
              <w:t>腹膜炎：预防（严格无菌操作，保持腹膜透析管周围皮肤清洁）；处理（及时留取引流液做细菌培养及药敏试验，根据结果使用抗生素，必要时暂停腹膜透析）。</w:t>
            </w:r>
          </w:p>
          <w:p w14:paraId="6F1558C1">
            <w:pPr>
              <w:rPr>
                <w:rFonts w:hint="eastAsia"/>
              </w:rPr>
            </w:pPr>
            <w:r>
              <w:rPr>
                <w:rFonts w:hint="eastAsia"/>
              </w:rPr>
              <w:t>腹痛、水、电解质紊乱、营养缺失：分别说明诱因（如透析液温度不适、透析液成分不当、蛋白质丢失过多）、预防措施及处理方法。</w:t>
            </w:r>
          </w:p>
          <w:p w14:paraId="319EF380">
            <w:pPr>
              <w:rPr>
                <w:rFonts w:hint="eastAsia"/>
              </w:rPr>
            </w:pPr>
            <w:r>
              <w:rPr>
                <w:rFonts w:hint="eastAsia"/>
              </w:rPr>
              <w:t>注意事项：强调腹膜透析会导致体内蛋白质及营养成分丢失，需通过饮食补充（如增加优质蛋白质摄入，补充维生素、矿物质），指导学生关注患者营养状况评估与饮食指导。</w:t>
            </w:r>
          </w:p>
          <w:p w14:paraId="740F205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三、</w:t>
            </w:r>
            <w:r>
              <w:rPr>
                <w:rFonts w:hint="eastAsia"/>
              </w:rPr>
              <w:t>肾穿刺术</w:t>
            </w:r>
          </w:p>
          <w:p w14:paraId="53CA8911">
            <w:pPr>
              <w:rPr>
                <w:rFonts w:hint="eastAsia"/>
              </w:rPr>
            </w:pPr>
            <w:r>
              <w:rPr>
                <w:rFonts w:hint="eastAsia"/>
              </w:rPr>
              <w:t>概念：讲解经皮肾穿刺活体组织检查的定义，说明其在肾脏病诊断（明确病因）、确定病理类型、指导治疗、判断疗效及估计预后中的重要作用。</w:t>
            </w:r>
          </w:p>
          <w:p w14:paraId="70D0AF8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适应证与禁忌证：</w:t>
            </w:r>
          </w:p>
          <w:p w14:paraId="0F66DD0E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适应证：明确凡有肾脏弥漫性损害，且病因、诊断、治疗或预后未明确，无禁忌证者均适用，举例说明如原发性肾病综合征、狼疮性肾炎等。</w:t>
            </w:r>
          </w:p>
          <w:p w14:paraId="36B7D5F1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禁忌证：</w:t>
            </w:r>
          </w:p>
          <w:p w14:paraId="0A868CBF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绝对禁忌证：如明显出血倾向（血小板显著减少、凝血功能障碍）、严重高血压未控制、孤立肾、肾肿瘤等。</w:t>
            </w:r>
          </w:p>
          <w:p w14:paraId="313DF186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相对禁忌证：如活动性肾盂肾炎、肾周脓肿、严重贫血、心功能不全等，说明这些情况需在病情控制后谨慎评估。</w:t>
            </w:r>
          </w:p>
          <w:p w14:paraId="3801CEA5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操作过程：</w:t>
            </w:r>
          </w:p>
          <w:p w14:paraId="64AF9004">
            <w:pPr>
              <w:rPr>
                <w:rFonts w:hint="eastAsia"/>
              </w:rPr>
            </w:pPr>
            <w:r>
              <w:rPr>
                <w:rFonts w:hint="eastAsia"/>
              </w:rPr>
              <w:t>评估：患者（生命体征、凝血功能、肾功能、肾脏位置及大小、心理状态）、环境（安静、整洁，配备急救设备及药品）。</w:t>
            </w:r>
          </w:p>
          <w:p w14:paraId="1F5D6F27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操作前准备：心理（向患者详细解释操作目的、过程及可能的风险，签署知情同意书，缓解焦虑）、用物（B 超机、穿刺针、无菌操作包、消毒用品、麻醉药品、急救药品等）、患者（训练患者屏气动作，术前排空膀胱，遵医嘱停用抗凝药物）。</w:t>
            </w:r>
          </w:p>
          <w:p w14:paraId="4F78CCBC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操作中护理：协助患者取俯卧位，在 B 超引导下选择穿刺点，配合医生进行皮肤消毒、局部麻醉，穿刺时指导患者屏气，密切观察患者生命体征及反应，如有异常及时告知医生。</w:t>
            </w:r>
          </w:p>
          <w:p w14:paraId="7C5330D5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eastAsia"/>
              </w:rPr>
            </w:pPr>
            <w:r>
              <w:rPr>
                <w:rFonts w:hint="eastAsia"/>
              </w:rPr>
              <w:t>操作后护理：穿刺后协助患者平卧，监测生命体征（每 30 分钟至 1 小时一次，连续 6-8 小时），压迫穿刺部位 15-20 分钟，用沙袋压迫止血，观察穿刺部位有无出血、血肿，指导患者多饮水，促进尿液排出，避免剧烈活动。</w:t>
            </w:r>
          </w:p>
          <w:p w14:paraId="4699566D">
            <w:pPr>
              <w:rPr>
                <w:rFonts w:hint="eastAsia"/>
              </w:rPr>
            </w:pPr>
            <w:r>
              <w:rPr>
                <w:rFonts w:hint="eastAsia"/>
              </w:rPr>
              <w:t>（三）课堂小结</w:t>
            </w:r>
          </w:p>
          <w:p w14:paraId="2E8451BB">
            <w:pPr>
              <w:rPr>
                <w:rFonts w:hint="eastAsia"/>
              </w:rPr>
            </w:pPr>
            <w:r>
              <w:rPr>
                <w:rFonts w:hint="eastAsia"/>
              </w:rPr>
              <w:t>知识梳理：以表格形式对比总结血液透析、腹膜透析、肾穿刺术的核心要点，包括概念、核心适应证、关键护理要点及常见并发症，帮助学生快速回顾与区分。</w:t>
            </w:r>
          </w:p>
          <w:p w14:paraId="5916F74D">
            <w:pPr>
              <w:rPr>
                <w:rFonts w:hint="default" w:ascii="宋体" w:hAnsi="宋体" w:eastAsia="宋体" w:cs="宋体"/>
                <w:b/>
                <w:kern w:val="0"/>
                <w:sz w:val="28"/>
                <w:szCs w:val="20"/>
                <w:lang w:val="en-US" w:eastAsia="zh-CN"/>
              </w:rPr>
            </w:pPr>
            <w:r>
              <w:rPr>
                <w:rFonts w:hint="eastAsia"/>
              </w:rPr>
              <w:t>重点强调：再次突出三种诊疗技术的适应证差异、操作中的无菌原则及并发症应急处理，强化学生对重点知识的记忆。</w:t>
            </w:r>
          </w:p>
        </w:tc>
        <w:tc>
          <w:tcPr>
            <w:tcW w:w="1572" w:type="dxa"/>
            <w:noWrap w:val="0"/>
            <w:vAlign w:val="center"/>
          </w:tcPr>
          <w:p w14:paraId="5A7BE20E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4573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9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6725A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巩固课堂知识内容与方法：</w:t>
            </w:r>
          </w:p>
        </w:tc>
      </w:tr>
      <w:tr w14:paraId="730A9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tblCellSpacing w:w="11" w:type="dxa"/>
        </w:trPr>
        <w:tc>
          <w:tcPr>
            <w:tcW w:w="95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8CC4B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1、通过提问的方式，把重点串讲以达到对知识的巩固</w:t>
            </w:r>
          </w:p>
          <w:p w14:paraId="113AF239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2、简述内科护理研究内容及学习中要注意的问题。</w:t>
            </w:r>
          </w:p>
          <w:p w14:paraId="5ADC61A4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42EA3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9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584A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作业：</w:t>
            </w:r>
          </w:p>
        </w:tc>
      </w:tr>
      <w:tr w14:paraId="79F5D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0" w:hRule="atLeast"/>
          <w:tblCellSpacing w:w="11" w:type="dxa"/>
        </w:trPr>
        <w:tc>
          <w:tcPr>
            <w:tcW w:w="9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061262">
            <w:pPr>
              <w:spacing w:line="360" w:lineRule="exact"/>
              <w:ind w:firstLine="480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</w:rPr>
              <w:t>书面作业：撰写一份 “血液透析患者护理计划”，内容需包括患者评估、护理诊断、护理目标、护理措施（分操作前、操作中、操作后）及护理评价，要求结合本节课所学知识，体现专业性与逻辑性。</w:t>
            </w:r>
          </w:p>
        </w:tc>
      </w:tr>
      <w:tr w14:paraId="6E91B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9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75FFC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课后分析：</w:t>
            </w:r>
          </w:p>
        </w:tc>
      </w:tr>
      <w:tr w14:paraId="3C85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tblCellSpacing w:w="11" w:type="dxa"/>
        </w:trPr>
        <w:tc>
          <w:tcPr>
            <w:tcW w:w="95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A4F1B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55346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146E5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参考资料：</w:t>
            </w:r>
          </w:p>
        </w:tc>
      </w:tr>
      <w:tr w14:paraId="041CB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F8967">
            <w:pPr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 xml:space="preserve">1、《内科护理》胡月琴 主编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人民卫生出版社</w:t>
            </w:r>
          </w:p>
        </w:tc>
      </w:tr>
      <w:tr w14:paraId="321D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DD672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kern w:val="0"/>
                <w:sz w:val="24"/>
              </w:rPr>
              <w:t>2、</w:t>
            </w:r>
            <w:r>
              <w:rPr>
                <w:rFonts w:hint="eastAsia"/>
                <w:sz w:val="24"/>
              </w:rPr>
              <w:t>《内科护理》第2版  马秀芬主编  人民卫生出版社</w:t>
            </w:r>
          </w:p>
        </w:tc>
      </w:tr>
      <w:tr w14:paraId="3FA18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D8C7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>3、 《基础护理学》第2版   李小萍主编  人民卫生出版社</w:t>
            </w:r>
          </w:p>
        </w:tc>
      </w:tr>
    </w:tbl>
    <w:p w14:paraId="0512E759">
      <w:pPr>
        <w:widowControl/>
        <w:wordWrap w:val="0"/>
        <w:spacing w:line="330" w:lineRule="atLeast"/>
        <w:jc w:val="center"/>
        <w:rPr>
          <w:rFonts w:hint="eastAsia"/>
        </w:rPr>
      </w:pPr>
    </w:p>
    <w:sectPr>
      <w:pgSz w:w="11906" w:h="16838"/>
      <w:pgMar w:top="907" w:right="1418" w:bottom="90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63F32B"/>
    <w:multiLevelType w:val="singleLevel"/>
    <w:tmpl w:val="D163F32B"/>
    <w:lvl w:ilvl="0" w:tentative="0">
      <w:start w:val="2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32AFE433"/>
    <w:multiLevelType w:val="singleLevel"/>
    <w:tmpl w:val="32AFE43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887DCE1"/>
    <w:multiLevelType w:val="singleLevel"/>
    <w:tmpl w:val="5887DCE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71BF7533"/>
    <w:multiLevelType w:val="singleLevel"/>
    <w:tmpl w:val="71BF753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7AB6DC48"/>
    <w:multiLevelType w:val="singleLevel"/>
    <w:tmpl w:val="7AB6DC4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69"/>
    <w:rsid w:val="00001538"/>
    <w:rsid w:val="00002880"/>
    <w:rsid w:val="00003FFF"/>
    <w:rsid w:val="000100D2"/>
    <w:rsid w:val="00021038"/>
    <w:rsid w:val="00022585"/>
    <w:rsid w:val="00044D3E"/>
    <w:rsid w:val="000453A2"/>
    <w:rsid w:val="00050A45"/>
    <w:rsid w:val="00053D51"/>
    <w:rsid w:val="00057FC6"/>
    <w:rsid w:val="00060143"/>
    <w:rsid w:val="000611FD"/>
    <w:rsid w:val="000673EB"/>
    <w:rsid w:val="0007252D"/>
    <w:rsid w:val="000829E0"/>
    <w:rsid w:val="000902A0"/>
    <w:rsid w:val="000A280A"/>
    <w:rsid w:val="000B04B1"/>
    <w:rsid w:val="000B2BEF"/>
    <w:rsid w:val="000B5446"/>
    <w:rsid w:val="000D5A68"/>
    <w:rsid w:val="000E73B5"/>
    <w:rsid w:val="001016BD"/>
    <w:rsid w:val="00102902"/>
    <w:rsid w:val="00115555"/>
    <w:rsid w:val="001162CB"/>
    <w:rsid w:val="00131716"/>
    <w:rsid w:val="001456E3"/>
    <w:rsid w:val="00153B67"/>
    <w:rsid w:val="0015537E"/>
    <w:rsid w:val="0016136A"/>
    <w:rsid w:val="0016162F"/>
    <w:rsid w:val="00175844"/>
    <w:rsid w:val="001A56CB"/>
    <w:rsid w:val="001A7A38"/>
    <w:rsid w:val="001B294E"/>
    <w:rsid w:val="001B2AD5"/>
    <w:rsid w:val="001B79C4"/>
    <w:rsid w:val="001D05B3"/>
    <w:rsid w:val="001D3129"/>
    <w:rsid w:val="001D4266"/>
    <w:rsid w:val="001D437D"/>
    <w:rsid w:val="001E034C"/>
    <w:rsid w:val="001F1A80"/>
    <w:rsid w:val="001F6518"/>
    <w:rsid w:val="00203D79"/>
    <w:rsid w:val="00210A37"/>
    <w:rsid w:val="002149A8"/>
    <w:rsid w:val="00217D5F"/>
    <w:rsid w:val="00220561"/>
    <w:rsid w:val="00223BE2"/>
    <w:rsid w:val="00231559"/>
    <w:rsid w:val="002425B4"/>
    <w:rsid w:val="00247ABF"/>
    <w:rsid w:val="00260DFF"/>
    <w:rsid w:val="00272C1C"/>
    <w:rsid w:val="002916DB"/>
    <w:rsid w:val="00293367"/>
    <w:rsid w:val="002A0890"/>
    <w:rsid w:val="002A75AF"/>
    <w:rsid w:val="002B148E"/>
    <w:rsid w:val="002B645F"/>
    <w:rsid w:val="002C5B6F"/>
    <w:rsid w:val="002D4979"/>
    <w:rsid w:val="002F0D2C"/>
    <w:rsid w:val="003117B9"/>
    <w:rsid w:val="003249E2"/>
    <w:rsid w:val="00335B02"/>
    <w:rsid w:val="00336384"/>
    <w:rsid w:val="00345940"/>
    <w:rsid w:val="00355437"/>
    <w:rsid w:val="00356AF9"/>
    <w:rsid w:val="00363966"/>
    <w:rsid w:val="00363A7E"/>
    <w:rsid w:val="00372D62"/>
    <w:rsid w:val="00381B68"/>
    <w:rsid w:val="0039424B"/>
    <w:rsid w:val="00397B9B"/>
    <w:rsid w:val="00397C0F"/>
    <w:rsid w:val="003A24A9"/>
    <w:rsid w:val="003A4CC7"/>
    <w:rsid w:val="003A72D5"/>
    <w:rsid w:val="003B2969"/>
    <w:rsid w:val="003B3621"/>
    <w:rsid w:val="003B64D4"/>
    <w:rsid w:val="003B64E4"/>
    <w:rsid w:val="003C3338"/>
    <w:rsid w:val="003C7DAF"/>
    <w:rsid w:val="003D5189"/>
    <w:rsid w:val="003E1CCD"/>
    <w:rsid w:val="003E26B9"/>
    <w:rsid w:val="003F0E59"/>
    <w:rsid w:val="004042F1"/>
    <w:rsid w:val="004109EA"/>
    <w:rsid w:val="0045081C"/>
    <w:rsid w:val="004673F9"/>
    <w:rsid w:val="00473ACB"/>
    <w:rsid w:val="004C01D2"/>
    <w:rsid w:val="004C128A"/>
    <w:rsid w:val="004C14BC"/>
    <w:rsid w:val="004C4830"/>
    <w:rsid w:val="004E5E31"/>
    <w:rsid w:val="00503EF9"/>
    <w:rsid w:val="00511F1E"/>
    <w:rsid w:val="00514663"/>
    <w:rsid w:val="00534619"/>
    <w:rsid w:val="00535B00"/>
    <w:rsid w:val="00565D5D"/>
    <w:rsid w:val="0057605B"/>
    <w:rsid w:val="00592929"/>
    <w:rsid w:val="005C66CC"/>
    <w:rsid w:val="005D763A"/>
    <w:rsid w:val="005E598C"/>
    <w:rsid w:val="005F41BE"/>
    <w:rsid w:val="005F7A58"/>
    <w:rsid w:val="005F7B69"/>
    <w:rsid w:val="00604757"/>
    <w:rsid w:val="0060575A"/>
    <w:rsid w:val="00637F0D"/>
    <w:rsid w:val="00655334"/>
    <w:rsid w:val="006659D1"/>
    <w:rsid w:val="00693D56"/>
    <w:rsid w:val="006A0543"/>
    <w:rsid w:val="006A4325"/>
    <w:rsid w:val="006B239B"/>
    <w:rsid w:val="006B3574"/>
    <w:rsid w:val="006D22AF"/>
    <w:rsid w:val="006D71B9"/>
    <w:rsid w:val="006E17C0"/>
    <w:rsid w:val="006E3BE9"/>
    <w:rsid w:val="006E4745"/>
    <w:rsid w:val="006F70ED"/>
    <w:rsid w:val="00703FB5"/>
    <w:rsid w:val="00712D17"/>
    <w:rsid w:val="007132B4"/>
    <w:rsid w:val="00714FD5"/>
    <w:rsid w:val="00737C2D"/>
    <w:rsid w:val="007424F2"/>
    <w:rsid w:val="00743AB5"/>
    <w:rsid w:val="00752EB5"/>
    <w:rsid w:val="007561D5"/>
    <w:rsid w:val="007657F1"/>
    <w:rsid w:val="007703CC"/>
    <w:rsid w:val="00770B18"/>
    <w:rsid w:val="0077253E"/>
    <w:rsid w:val="007741C8"/>
    <w:rsid w:val="00777278"/>
    <w:rsid w:val="00782DBA"/>
    <w:rsid w:val="007844CD"/>
    <w:rsid w:val="00790BE6"/>
    <w:rsid w:val="007B6228"/>
    <w:rsid w:val="007D1B1A"/>
    <w:rsid w:val="007E306B"/>
    <w:rsid w:val="007E4B58"/>
    <w:rsid w:val="007F58DE"/>
    <w:rsid w:val="007F7FFC"/>
    <w:rsid w:val="00817FE8"/>
    <w:rsid w:val="0083020C"/>
    <w:rsid w:val="00833B17"/>
    <w:rsid w:val="0084382F"/>
    <w:rsid w:val="0085093B"/>
    <w:rsid w:val="00865305"/>
    <w:rsid w:val="00866318"/>
    <w:rsid w:val="008738F7"/>
    <w:rsid w:val="00881DF9"/>
    <w:rsid w:val="0089114F"/>
    <w:rsid w:val="00891E95"/>
    <w:rsid w:val="00897024"/>
    <w:rsid w:val="008A2780"/>
    <w:rsid w:val="008A374F"/>
    <w:rsid w:val="008A3F34"/>
    <w:rsid w:val="008A745B"/>
    <w:rsid w:val="008B10AF"/>
    <w:rsid w:val="008D633F"/>
    <w:rsid w:val="008D7030"/>
    <w:rsid w:val="008E14AC"/>
    <w:rsid w:val="008F7920"/>
    <w:rsid w:val="0090351C"/>
    <w:rsid w:val="009045B5"/>
    <w:rsid w:val="00906185"/>
    <w:rsid w:val="00910DD4"/>
    <w:rsid w:val="009123CF"/>
    <w:rsid w:val="0092453D"/>
    <w:rsid w:val="00945A3C"/>
    <w:rsid w:val="009500DF"/>
    <w:rsid w:val="00961B4F"/>
    <w:rsid w:val="00962406"/>
    <w:rsid w:val="00986A42"/>
    <w:rsid w:val="0098734D"/>
    <w:rsid w:val="009A13CC"/>
    <w:rsid w:val="009B1D73"/>
    <w:rsid w:val="009B34D9"/>
    <w:rsid w:val="009B377B"/>
    <w:rsid w:val="009C459C"/>
    <w:rsid w:val="009C78C9"/>
    <w:rsid w:val="009D6CE5"/>
    <w:rsid w:val="009E2649"/>
    <w:rsid w:val="009F2849"/>
    <w:rsid w:val="009F580B"/>
    <w:rsid w:val="00A02AA0"/>
    <w:rsid w:val="00A10AF6"/>
    <w:rsid w:val="00A150D0"/>
    <w:rsid w:val="00A21E2A"/>
    <w:rsid w:val="00A34CE0"/>
    <w:rsid w:val="00A35FA5"/>
    <w:rsid w:val="00A3663B"/>
    <w:rsid w:val="00A67D6B"/>
    <w:rsid w:val="00A7152F"/>
    <w:rsid w:val="00A729DD"/>
    <w:rsid w:val="00AA28DE"/>
    <w:rsid w:val="00AB6E90"/>
    <w:rsid w:val="00AD5C8E"/>
    <w:rsid w:val="00AE727B"/>
    <w:rsid w:val="00AF1B4B"/>
    <w:rsid w:val="00B03C3A"/>
    <w:rsid w:val="00B0599A"/>
    <w:rsid w:val="00B14BAF"/>
    <w:rsid w:val="00B1590A"/>
    <w:rsid w:val="00B201C9"/>
    <w:rsid w:val="00B24431"/>
    <w:rsid w:val="00B2727E"/>
    <w:rsid w:val="00B41EEC"/>
    <w:rsid w:val="00B50891"/>
    <w:rsid w:val="00B571D6"/>
    <w:rsid w:val="00B73D93"/>
    <w:rsid w:val="00B84430"/>
    <w:rsid w:val="00B84ED3"/>
    <w:rsid w:val="00B86DEC"/>
    <w:rsid w:val="00B96B8C"/>
    <w:rsid w:val="00BA6E10"/>
    <w:rsid w:val="00BD01AB"/>
    <w:rsid w:val="00BE07DF"/>
    <w:rsid w:val="00BE58CD"/>
    <w:rsid w:val="00BE6124"/>
    <w:rsid w:val="00BE7421"/>
    <w:rsid w:val="00C27DA8"/>
    <w:rsid w:val="00C31C8B"/>
    <w:rsid w:val="00C4452D"/>
    <w:rsid w:val="00C5643C"/>
    <w:rsid w:val="00C73BEC"/>
    <w:rsid w:val="00C74BCC"/>
    <w:rsid w:val="00C8426F"/>
    <w:rsid w:val="00C8460B"/>
    <w:rsid w:val="00C9286D"/>
    <w:rsid w:val="00CA1929"/>
    <w:rsid w:val="00CA4C75"/>
    <w:rsid w:val="00CB4B60"/>
    <w:rsid w:val="00CC25BE"/>
    <w:rsid w:val="00CD3489"/>
    <w:rsid w:val="00CE1424"/>
    <w:rsid w:val="00CE2558"/>
    <w:rsid w:val="00CE2A76"/>
    <w:rsid w:val="00CF0789"/>
    <w:rsid w:val="00CF1C91"/>
    <w:rsid w:val="00CF24D6"/>
    <w:rsid w:val="00CF4D83"/>
    <w:rsid w:val="00CF6EAD"/>
    <w:rsid w:val="00D014AA"/>
    <w:rsid w:val="00D03461"/>
    <w:rsid w:val="00D07638"/>
    <w:rsid w:val="00D14E0B"/>
    <w:rsid w:val="00D45DC4"/>
    <w:rsid w:val="00D46545"/>
    <w:rsid w:val="00D54291"/>
    <w:rsid w:val="00D837BF"/>
    <w:rsid w:val="00D8406A"/>
    <w:rsid w:val="00D934CE"/>
    <w:rsid w:val="00D95E2F"/>
    <w:rsid w:val="00DA2FAD"/>
    <w:rsid w:val="00DA51FB"/>
    <w:rsid w:val="00DB34DF"/>
    <w:rsid w:val="00DC69EB"/>
    <w:rsid w:val="00DD1043"/>
    <w:rsid w:val="00DD3C6C"/>
    <w:rsid w:val="00DE5425"/>
    <w:rsid w:val="00DF1295"/>
    <w:rsid w:val="00DF1729"/>
    <w:rsid w:val="00E13173"/>
    <w:rsid w:val="00E13205"/>
    <w:rsid w:val="00E16EC3"/>
    <w:rsid w:val="00E216F1"/>
    <w:rsid w:val="00E36E5E"/>
    <w:rsid w:val="00E42342"/>
    <w:rsid w:val="00E56F09"/>
    <w:rsid w:val="00E646D9"/>
    <w:rsid w:val="00E64DDE"/>
    <w:rsid w:val="00E703B8"/>
    <w:rsid w:val="00E70B12"/>
    <w:rsid w:val="00E94561"/>
    <w:rsid w:val="00EA4350"/>
    <w:rsid w:val="00EB62D5"/>
    <w:rsid w:val="00EC341C"/>
    <w:rsid w:val="00ED45A2"/>
    <w:rsid w:val="00EE261F"/>
    <w:rsid w:val="00EE2B88"/>
    <w:rsid w:val="00EF3BD0"/>
    <w:rsid w:val="00EF708A"/>
    <w:rsid w:val="00F0597D"/>
    <w:rsid w:val="00F06092"/>
    <w:rsid w:val="00F11553"/>
    <w:rsid w:val="00F33D1B"/>
    <w:rsid w:val="00F344CA"/>
    <w:rsid w:val="00F36810"/>
    <w:rsid w:val="00F439F1"/>
    <w:rsid w:val="00F534A2"/>
    <w:rsid w:val="00F560C1"/>
    <w:rsid w:val="00F62DA0"/>
    <w:rsid w:val="00F667C5"/>
    <w:rsid w:val="00F67469"/>
    <w:rsid w:val="00F7221B"/>
    <w:rsid w:val="00F76BA6"/>
    <w:rsid w:val="00F87CB4"/>
    <w:rsid w:val="00F91934"/>
    <w:rsid w:val="00FA6276"/>
    <w:rsid w:val="00FB4AB8"/>
    <w:rsid w:val="00FC4ABA"/>
    <w:rsid w:val="00FD15F4"/>
    <w:rsid w:val="00FD1776"/>
    <w:rsid w:val="00FD1EB7"/>
    <w:rsid w:val="00FD77C0"/>
    <w:rsid w:val="00FF2243"/>
    <w:rsid w:val="06AF78CC"/>
    <w:rsid w:val="19E05225"/>
    <w:rsid w:val="2EB77094"/>
    <w:rsid w:val="53957D1D"/>
    <w:rsid w:val="5FDC0C15"/>
    <w:rsid w:val="661648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5</Pages>
  <Words>2972</Words>
  <Characters>3055</Characters>
  <Lines>27</Lines>
  <Paragraphs>7</Paragraphs>
  <TotalTime>29</TotalTime>
  <ScaleCrop>false</ScaleCrop>
  <LinksUpToDate>false</LinksUpToDate>
  <CharactersWithSpaces>3233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2007-01-11T08:21:00Z</dcterms:created>
  <dc:creator>SKYLZY</dc:creator>
  <cp:lastModifiedBy>嘟嘟</cp:lastModifiedBy>
  <cp:lastPrinted>2010-01-05T03:08:00Z</cp:lastPrinted>
  <dcterms:modified xsi:type="dcterms:W3CDTF">2025-09-15T03:05:17Z</dcterms:modified>
  <dc:title>南阳医学高等专科学校教案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eyJoZGlkIjoiNTRhMzg2OWJjMjI3MTg1NjMwMzY2YzM2YjFhZmRkZDkiLCJ1c2VySWQiOiI2NzMyNTM1ODMifQ==</vt:lpwstr>
  </property>
  <property fmtid="{D5CDD505-2E9C-101B-9397-08002B2CF9AE}" pid="4" name="ICV">
    <vt:lpwstr>BF718B5DD82748E2BF3BB8F3B0B8EABC_13</vt:lpwstr>
  </property>
</Properties>
</file>